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/>
      </w:tblPr>
      <w:tblGrid>
        <w:gridCol w:w="4968"/>
        <w:gridCol w:w="360"/>
        <w:gridCol w:w="1241"/>
        <w:gridCol w:w="1422"/>
        <w:gridCol w:w="2665"/>
      </w:tblGrid>
      <w:tr w:rsidR="00EE3DDD" w:rsidRPr="00B1375D" w:rsidTr="002229DC">
        <w:trPr>
          <w:trHeight w:hRule="exact" w:val="64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EE3DDD" w:rsidRPr="00B1375D" w:rsidRDefault="00EE3DDD" w:rsidP="00486345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B1375D">
              <w:rPr>
                <w:rFonts w:ascii="Times New Roman" w:hAnsi="Times New Roman" w:cs="Times New Roman"/>
                <w:sz w:val="24"/>
                <w:szCs w:val="24"/>
              </w:rPr>
              <w:t>BIOGRAPHICAL SKETCH</w:t>
            </w:r>
          </w:p>
          <w:p w:rsidR="00EE3DDD" w:rsidRPr="00B1375D" w:rsidRDefault="00EE3DDD" w:rsidP="00486345">
            <w:pPr>
              <w:pStyle w:val="HeadNoteNotItalics"/>
              <w:rPr>
                <w:rFonts w:ascii="Times New Roman" w:hAnsi="Times New Roman" w:cs="Times New Roman"/>
                <w:sz w:val="24"/>
                <w:szCs w:val="24"/>
              </w:rPr>
            </w:pPr>
            <w:r w:rsidRPr="00B1375D">
              <w:rPr>
                <w:rFonts w:ascii="Times New Roman" w:hAnsi="Times New Roman" w:cs="Times New Roman"/>
                <w:sz w:val="24"/>
                <w:szCs w:val="24"/>
              </w:rPr>
              <w:t xml:space="preserve">Follow this format for each person. </w:t>
            </w:r>
            <w:r w:rsidRPr="00B137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NOT EXCEED FOUR PAGES.</w:t>
            </w:r>
          </w:p>
        </w:tc>
      </w:tr>
      <w:tr w:rsidR="00EE3DDD" w:rsidRPr="00B1375D" w:rsidTr="00486345">
        <w:trPr>
          <w:trHeight w:hRule="exact" w:val="216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E3DDD" w:rsidRPr="00B1375D" w:rsidRDefault="00EE3DDD" w:rsidP="00486345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E3DDD" w:rsidRPr="00112C71" w:rsidTr="002229DC">
        <w:trPr>
          <w:trHeight w:hRule="exact" w:val="695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EE3DDD" w:rsidRPr="00112C71" w:rsidRDefault="00EE3DDD" w:rsidP="00486345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  <w:p w:rsidR="00EE3DDD" w:rsidRPr="00112C71" w:rsidRDefault="00D735C7" w:rsidP="00486345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Gaisano, Herbert Y</w:t>
            </w:r>
          </w:p>
        </w:tc>
        <w:tc>
          <w:tcPr>
            <w:tcW w:w="5328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EE3DDD" w:rsidRPr="00112C71" w:rsidRDefault="00EE3DDD" w:rsidP="00486345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POSITION TITLE</w:t>
            </w:r>
          </w:p>
          <w:p w:rsidR="00D735C7" w:rsidRPr="00112C71" w:rsidRDefault="00D735C7" w:rsidP="00D735C7">
            <w:pPr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Professor, Medicine and Physiology</w:t>
            </w:r>
          </w:p>
          <w:p w:rsidR="00EE3DDD" w:rsidRPr="00112C71" w:rsidRDefault="00EE3DDD" w:rsidP="00486345">
            <w:pPr>
              <w:pStyle w:val="DataField11p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DD" w:rsidRPr="00112C71" w:rsidTr="00486345">
        <w:trPr>
          <w:trHeight w:hRule="exact" w:val="52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EE3DDD" w:rsidRPr="00112C71" w:rsidRDefault="00EE3DDD" w:rsidP="00486345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eRA COMMONS USER NAME</w:t>
            </w:r>
          </w:p>
          <w:p w:rsidR="00EE3DDD" w:rsidRPr="00112C71" w:rsidRDefault="00EE3DDD" w:rsidP="00486345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8" w:type="dxa"/>
            <w:gridSpan w:val="3"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EE3DDD" w:rsidRPr="00112C71" w:rsidRDefault="00EE3DDD" w:rsidP="00486345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DDD" w:rsidRPr="00112C71" w:rsidTr="002229DC">
        <w:trPr>
          <w:trHeight w:hRule="exact" w:val="330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EE3DDD" w:rsidRPr="00112C71" w:rsidRDefault="00EE3DDD" w:rsidP="002229DC">
            <w:pPr>
              <w:pStyle w:val="FormFieldCaption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EDUCATION/TRAINING</w:t>
            </w:r>
          </w:p>
        </w:tc>
      </w:tr>
      <w:tr w:rsidR="00EE3DDD" w:rsidRPr="00112C71" w:rsidTr="00112C71">
        <w:trPr>
          <w:jc w:val="center"/>
        </w:trPr>
        <w:tc>
          <w:tcPr>
            <w:tcW w:w="4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DDD" w:rsidRPr="00112C71" w:rsidRDefault="00EE3DDD" w:rsidP="00486345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INSTITUTION AND LOCATION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DDD" w:rsidRPr="00112C71" w:rsidRDefault="00EE3DDD" w:rsidP="002229DC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DEGREE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3DDD" w:rsidRPr="00112C71" w:rsidRDefault="00EE3DDD" w:rsidP="00486345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3DDD" w:rsidRPr="00112C71" w:rsidRDefault="00EE3DDD" w:rsidP="00486345">
            <w:pPr>
              <w:pStyle w:val="FormFieldCaption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1">
              <w:rPr>
                <w:rFonts w:ascii="Times New Roman" w:hAnsi="Times New Roman" w:cs="Times New Roman"/>
                <w:sz w:val="24"/>
                <w:szCs w:val="24"/>
              </w:rPr>
              <w:t>FIELD OF STUDY</w:t>
            </w:r>
          </w:p>
        </w:tc>
      </w:tr>
      <w:tr w:rsidR="00D735C7" w:rsidRPr="00112C71" w:rsidTr="00112C71">
        <w:trPr>
          <w:trHeight w:hRule="exact" w:val="288"/>
          <w:jc w:val="center"/>
        </w:trPr>
        <w:tc>
          <w:tcPr>
            <w:tcW w:w="496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University of the Philippines, Manila</w:t>
            </w:r>
          </w:p>
        </w:tc>
        <w:tc>
          <w:tcPr>
            <w:tcW w:w="16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B. Sci.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jc w:val="right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1974-1977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Pre-Medicine</w:t>
            </w:r>
          </w:p>
        </w:tc>
      </w:tr>
      <w:tr w:rsidR="00D735C7" w:rsidRPr="00112C71" w:rsidTr="00112C71">
        <w:trPr>
          <w:trHeight w:hRule="exact" w:val="288"/>
          <w:jc w:val="center"/>
        </w:trPr>
        <w:tc>
          <w:tcPr>
            <w:tcW w:w="4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University of the Philippines, Manila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M.D.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jc w:val="right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1977-1981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Medicine</w:t>
            </w:r>
          </w:p>
        </w:tc>
      </w:tr>
      <w:tr w:rsidR="00D735C7" w:rsidRPr="00112C71" w:rsidTr="00112C71">
        <w:trPr>
          <w:trHeight w:hRule="exact" w:val="288"/>
          <w:jc w:val="center"/>
        </w:trPr>
        <w:tc>
          <w:tcPr>
            <w:tcW w:w="4968" w:type="dxa"/>
            <w:tcBorders>
              <w:top w:val="nil"/>
              <w:left w:val="nil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Mayo Clinic, Rochester, Minnesota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Res. Fellow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735C7" w:rsidRPr="00112C71" w:rsidRDefault="00D735C7" w:rsidP="00E901FF">
            <w:pPr>
              <w:spacing w:before="20" w:after="20"/>
              <w:jc w:val="right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1983-1984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right w:val="nil"/>
            </w:tcBorders>
          </w:tcPr>
          <w:p w:rsidR="00D735C7" w:rsidRPr="00112C71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Pancreatic research</w:t>
            </w:r>
          </w:p>
        </w:tc>
      </w:tr>
      <w:tr w:rsidR="00D735C7" w:rsidRPr="00112C71" w:rsidTr="00D47C8F">
        <w:trPr>
          <w:trHeight w:hRule="exact" w:val="811"/>
          <w:jc w:val="center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5C7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Mayo Clinic, Rochester, Minnesota</w:t>
            </w:r>
          </w:p>
          <w:p w:rsidR="00D47C8F" w:rsidRPr="00112C71" w:rsidRDefault="00D47C8F" w:rsidP="00E901FF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Mayo Clinic, Rochester, Minnesota</w:t>
            </w:r>
          </w:p>
        </w:tc>
        <w:tc>
          <w:tcPr>
            <w:tcW w:w="16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7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Residency</w:t>
            </w:r>
          </w:p>
          <w:p w:rsidR="00D47C8F" w:rsidRPr="00112C71" w:rsidRDefault="00D47C8F" w:rsidP="00E901FF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Fellowship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C7" w:rsidRDefault="00D47C8F" w:rsidP="00E901FF">
            <w:pPr>
              <w:spacing w:before="20" w:after="2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1984-19</w:t>
            </w:r>
            <w:r w:rsidR="00D735C7" w:rsidRPr="00112C71">
              <w:rPr>
                <w:rFonts w:cs="Arial"/>
                <w:sz w:val="24"/>
              </w:rPr>
              <w:t>86</w:t>
            </w:r>
          </w:p>
          <w:p w:rsidR="00D47C8F" w:rsidRPr="00112C71" w:rsidRDefault="00D47C8F" w:rsidP="00E901FF">
            <w:pPr>
              <w:spacing w:before="20" w:after="20"/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1986-1990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735C7" w:rsidRDefault="00D735C7" w:rsidP="00E901FF">
            <w:pPr>
              <w:spacing w:before="20" w:after="20"/>
              <w:rPr>
                <w:rFonts w:cs="Arial"/>
                <w:sz w:val="24"/>
              </w:rPr>
            </w:pPr>
            <w:r w:rsidRPr="00112C71">
              <w:rPr>
                <w:rFonts w:cs="Arial"/>
                <w:sz w:val="24"/>
              </w:rPr>
              <w:t>Internal Medicine</w:t>
            </w:r>
          </w:p>
          <w:p w:rsidR="00D47C8F" w:rsidRPr="00112C71" w:rsidRDefault="00D47C8F" w:rsidP="00E901FF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GI</w:t>
            </w:r>
            <w:r w:rsidR="0034255F">
              <w:rPr>
                <w:rFonts w:cs="Arial"/>
                <w:sz w:val="24"/>
              </w:rPr>
              <w:t>, Research</w:t>
            </w:r>
          </w:p>
        </w:tc>
      </w:tr>
    </w:tbl>
    <w:p w:rsidR="001F74A3" w:rsidRDefault="001F74A3" w:rsidP="00D735C7">
      <w:pPr>
        <w:adjustRightInd w:val="0"/>
        <w:rPr>
          <w:rFonts w:cs="Arial"/>
          <w:b/>
          <w:bCs/>
          <w:sz w:val="24"/>
        </w:rPr>
      </w:pPr>
    </w:p>
    <w:p w:rsidR="00D735C7" w:rsidRDefault="00D735C7" w:rsidP="00D735C7">
      <w:pPr>
        <w:adjustRightInd w:val="0"/>
        <w:rPr>
          <w:rFonts w:cs="Arial"/>
          <w:b/>
          <w:bCs/>
          <w:sz w:val="24"/>
        </w:rPr>
      </w:pPr>
      <w:r w:rsidRPr="00112C71">
        <w:rPr>
          <w:rFonts w:cs="Arial"/>
          <w:b/>
          <w:bCs/>
          <w:sz w:val="24"/>
        </w:rPr>
        <w:t>A. Personal Sta</w:t>
      </w:r>
      <w:r w:rsidR="0034255F">
        <w:rPr>
          <w:rFonts w:cs="Arial"/>
          <w:b/>
          <w:bCs/>
          <w:sz w:val="24"/>
        </w:rPr>
        <w:t>tement (referenced to Section C)</w:t>
      </w:r>
    </w:p>
    <w:p w:rsidR="00E95DFF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I was one of the first to translate the thinking of SNARE protein regulation of neurosecretion to non neuronal cells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to regulate secretion by showing that VAMP-2 mediated pancreatic acinar enzyme secretion (14). This study raised the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possibility that other synaptic SNAREs might belong to large gene families which include non-neuronal members, which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resulted in the "explosion" of the SNARE field in non-neuronal cell biology. We discovered acinar isoforms of VAMP-2,-3, Syntaxins -2, -3,-4, and SNAP-23 (16-18), which form combinations of complexes that localized to distinct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membrane compartments of a single epithelial acinar cell to mediate distinct exocytic processes (22,24,25,28,35). We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found that Munc18c binds basal membrane Syntaxin-4 to prevent it from forming a complex with SNAP-23 and VAMP-2, which would consummate basolateral exocytosis, which we postulated to be a mechanism of acute pancreatitis (28,69)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and chronic pancreatitis (44); </w:t>
      </w:r>
      <w:r w:rsidRPr="00112C71">
        <w:rPr>
          <w:rFonts w:ascii="Times-Roman" w:hAnsi="Times-Roman" w:cs="Times-Roman"/>
          <w:sz w:val="24"/>
        </w:rPr>
        <w:t xml:space="preserve">and then found VAMP8 to be the putative v-SNARE for basolateral </w:t>
      </w:r>
      <w:r w:rsidR="00D6436C" w:rsidRPr="00112C71">
        <w:rPr>
          <w:rFonts w:ascii="Times-Roman" w:hAnsi="Times-Roman" w:cs="Times-Roman"/>
          <w:sz w:val="24"/>
        </w:rPr>
        <w:t>exocytosis</w:t>
      </w:r>
      <w:r w:rsidRPr="00112C71">
        <w:rPr>
          <w:rFonts w:ascii="Times-Roman" w:hAnsi="Times-Roman" w:cs="Times-Roman"/>
          <w:sz w:val="24"/>
        </w:rPr>
        <w:t xml:space="preserve"> (95).</w:t>
      </w:r>
      <w:r w:rsidRPr="00112C71">
        <w:rPr>
          <w:rFonts w:ascii="Times New Roman" w:hAnsi="Times New Roman"/>
          <w:sz w:val="24"/>
        </w:rPr>
        <w:t>We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have now applied this model to in part explain the molecular mechanism of alcoholic pancreatitis (72,73,74), which was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funded by the Alcohol Beverage</w:t>
      </w:r>
      <w:r w:rsidR="00030FB1">
        <w:rPr>
          <w:rFonts w:ascii="Times New Roman" w:hAnsi="Times New Roman"/>
          <w:sz w:val="24"/>
        </w:rPr>
        <w:t xml:space="preserve"> Medical Research Foundation, </w:t>
      </w:r>
      <w:r w:rsidRPr="00112C71">
        <w:rPr>
          <w:rFonts w:ascii="Times New Roman" w:hAnsi="Times New Roman"/>
          <w:sz w:val="24"/>
        </w:rPr>
        <w:t xml:space="preserve">NIH, and </w:t>
      </w:r>
      <w:r w:rsidRPr="00D01240">
        <w:rPr>
          <w:rFonts w:ascii="Times New Roman" w:hAnsi="Times New Roman"/>
          <w:sz w:val="24"/>
        </w:rPr>
        <w:t>U.S. Department of Defense</w:t>
      </w:r>
      <w:r w:rsidRPr="00112C71">
        <w:rPr>
          <w:rFonts w:ascii="Times New Roman" w:hAnsi="Times New Roman"/>
          <w:sz w:val="24"/>
        </w:rPr>
        <w:t>. We further</w:t>
      </w:r>
      <w:r w:rsidR="0075287E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clarified the molecular mechanism of physiologic apical exocytosis, including the role of Munc18b (in prep) and a novel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interacting protein Cab45b (79). This work has modified the way the pancreatic scientific community now thinks of the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molecular bases of regulated exocytosis and pathologic exocytosis underlying pancreatitis (24,28,69,103); and has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resulted in national and international Young Investigator Awards, an Associate Editorship in the journal Pancreas. I was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the first non-American to receive a Scholarship from the Amer. GI Association; and most recently, I was award the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Canadian Association of </w:t>
      </w:r>
      <w:r w:rsidR="00D6436C" w:rsidRPr="00112C71">
        <w:rPr>
          <w:rFonts w:ascii="Times New Roman" w:hAnsi="Times New Roman"/>
          <w:sz w:val="24"/>
        </w:rPr>
        <w:t>Gastroenterology</w:t>
      </w:r>
      <w:r w:rsidRPr="00112C71">
        <w:rPr>
          <w:rFonts w:ascii="Times New Roman" w:hAnsi="Times New Roman"/>
          <w:sz w:val="24"/>
        </w:rPr>
        <w:t xml:space="preserve"> Research Excellen</w:t>
      </w:r>
      <w:r w:rsidR="00030FB1">
        <w:rPr>
          <w:rFonts w:ascii="Times New Roman" w:hAnsi="Times New Roman"/>
          <w:sz w:val="24"/>
        </w:rPr>
        <w:t>ce</w:t>
      </w:r>
      <w:r w:rsidRPr="00112C71">
        <w:rPr>
          <w:rFonts w:ascii="Times New Roman" w:hAnsi="Times New Roman"/>
          <w:sz w:val="24"/>
        </w:rPr>
        <w:t xml:space="preserve"> Award (highest award).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We developed adenoviral gene transfer methods to introduce SNARE mutant genes into acinar cells (22) maintained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in long-term culture to elucidate the structure-function of the SNARE proteins (25). Using these assays, we are now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examining the specific actions of Syntaxin-2 and -3 and the interacting Munc18b in controlling the apical exocytic events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(79). We have now further developed the exocytosis imaging assays to now include spinning disc confocal microscopy</w:t>
      </w:r>
      <w:r w:rsidR="00112C71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(</w:t>
      </w:r>
      <w:r w:rsidR="00543CE5">
        <w:rPr>
          <w:rFonts w:ascii="Times New Roman" w:hAnsi="Times New Roman"/>
          <w:sz w:val="24"/>
        </w:rPr>
        <w:t>125</w:t>
      </w:r>
      <w:r w:rsidRPr="00112C71">
        <w:rPr>
          <w:rFonts w:ascii="Times New Roman" w:hAnsi="Times New Roman"/>
          <w:sz w:val="24"/>
        </w:rPr>
        <w:t xml:space="preserve">), multi-photon microscopy </w:t>
      </w:r>
      <w:r w:rsidR="00435FD5">
        <w:rPr>
          <w:rFonts w:ascii="Times New Roman" w:hAnsi="Times New Roman"/>
          <w:sz w:val="24"/>
        </w:rPr>
        <w:t xml:space="preserve">(128) </w:t>
      </w:r>
      <w:r w:rsidRPr="00112C71">
        <w:rPr>
          <w:rFonts w:ascii="Times New Roman" w:hAnsi="Times New Roman"/>
          <w:sz w:val="24"/>
        </w:rPr>
        <w:t>and evanescent microscopy (total internal reflection fluorescence microscopy).</w:t>
      </w:r>
      <w:r w:rsidR="00112C71">
        <w:rPr>
          <w:rFonts w:ascii="Times New Roman" w:hAnsi="Times New Roman"/>
          <w:sz w:val="24"/>
        </w:rPr>
        <w:t xml:space="preserve"> </w:t>
      </w:r>
      <w:r w:rsidR="00543CE5">
        <w:rPr>
          <w:rFonts w:ascii="Times New Roman" w:hAnsi="Times New Roman"/>
          <w:sz w:val="24"/>
        </w:rPr>
        <w:t xml:space="preserve">Lastly, we developed a true </w:t>
      </w:r>
      <w:r w:rsidR="00030FB1">
        <w:rPr>
          <w:rFonts w:ascii="Times New Roman" w:hAnsi="Times New Roman"/>
          <w:sz w:val="24"/>
        </w:rPr>
        <w:t xml:space="preserve">in </w:t>
      </w:r>
      <w:r w:rsidR="00543CE5">
        <w:rPr>
          <w:rFonts w:ascii="Times New Roman" w:hAnsi="Times New Roman"/>
          <w:sz w:val="24"/>
        </w:rPr>
        <w:t>situ strategy to examine the exocrine pancreas by very fine slicing of pancreas in rodents wherein we first employed to examine islet cell function (119), and now applied to exa</w:t>
      </w:r>
      <w:r w:rsidR="00030FB1">
        <w:rPr>
          <w:rFonts w:ascii="Times New Roman" w:hAnsi="Times New Roman"/>
          <w:sz w:val="24"/>
        </w:rPr>
        <w:t>mine acin</w:t>
      </w:r>
      <w:r w:rsidR="00543CE5">
        <w:rPr>
          <w:rFonts w:ascii="Times New Roman" w:hAnsi="Times New Roman"/>
          <w:sz w:val="24"/>
        </w:rPr>
        <w:t xml:space="preserve">ar biology (this proposal) deploying the various mentioned imaging assays. </w:t>
      </w:r>
      <w:r w:rsidR="00D01240">
        <w:rPr>
          <w:rFonts w:ascii="Times New Roman" w:hAnsi="Times New Roman"/>
          <w:sz w:val="24"/>
        </w:rPr>
        <w:br/>
      </w: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B. Positions and Honors.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Current Positions: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2004- Professor, Departments of Medicine and Physiology, University of Toronto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1991 - present Staff Physician, Division of Gastroenterology, University Health Network of Toronto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lastRenderedPageBreak/>
        <w:t>1994 - present Faculty Member, Institute of Medical Science, University of Toronto, Faculty of Graduate Studies</w:t>
      </w:r>
    </w:p>
    <w:p w:rsidR="001F74A3" w:rsidRDefault="001F74A3" w:rsidP="00D735C7">
      <w:pPr>
        <w:adjustRightInd w:val="0"/>
        <w:rPr>
          <w:rFonts w:ascii="Times New Roman" w:hAnsi="Times New Roman"/>
          <w:b/>
          <w:bCs/>
          <w:sz w:val="24"/>
        </w:rPr>
      </w:pP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Previous Positions: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1991 - 1998 Assistant </w:t>
      </w:r>
      <w:r w:rsidR="00D6436C" w:rsidRPr="00112C71">
        <w:rPr>
          <w:rFonts w:ascii="Times New Roman" w:hAnsi="Times New Roman"/>
          <w:sz w:val="24"/>
        </w:rPr>
        <w:t>Professor,</w:t>
      </w:r>
      <w:r w:rsidRPr="00112C71">
        <w:rPr>
          <w:rFonts w:ascii="Times New Roman" w:hAnsi="Times New Roman"/>
          <w:sz w:val="24"/>
        </w:rPr>
        <w:t xml:space="preserve"> Department of Medicine, University of Toronto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1996 - 1998 Assistant Professor, Department of Physiology, University of Toronto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1998 – 2004 Associate Professor, Departments of Medicine and Physiology, University of Toronto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1996 – 2003 Research Director, Division of Gastroenterology, University Health Network of Toronto</w:t>
      </w:r>
    </w:p>
    <w:p w:rsidR="001F74A3" w:rsidRDefault="001F74A3" w:rsidP="00D735C7">
      <w:pPr>
        <w:adjustRightInd w:val="0"/>
        <w:rPr>
          <w:rFonts w:ascii="Times New Roman" w:hAnsi="Times New Roman"/>
          <w:b/>
          <w:bCs/>
          <w:sz w:val="24"/>
        </w:rPr>
      </w:pP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Professional Activities: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2006- Editorial Board, Journal of Biological Chemistry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1997 </w:t>
      </w:r>
      <w:r w:rsidRPr="00112C71">
        <w:rPr>
          <w:rFonts w:ascii="Times New Roman" w:hAnsi="Times New Roman"/>
          <w:b/>
          <w:bCs/>
          <w:sz w:val="24"/>
        </w:rPr>
        <w:t xml:space="preserve">- </w:t>
      </w:r>
      <w:r w:rsidRPr="00112C71">
        <w:rPr>
          <w:rFonts w:ascii="Times New Roman" w:hAnsi="Times New Roman"/>
          <w:sz w:val="24"/>
        </w:rPr>
        <w:t>present Associate Editor, Pancreas (Journal),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2000 - 2003 Juvenile Diabetes Research Foundation, Medical Science Review Committee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2004-present Canadian Institute for Health Research internal review committees (Cell Physiology, DOL, Exp.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Med)</w:t>
      </w:r>
    </w:p>
    <w:p w:rsidR="001F74A3" w:rsidRDefault="001F74A3" w:rsidP="00D735C7">
      <w:pPr>
        <w:adjustRightInd w:val="0"/>
        <w:rPr>
          <w:rFonts w:ascii="Times New Roman" w:hAnsi="Times New Roman"/>
          <w:b/>
          <w:bCs/>
          <w:sz w:val="24"/>
        </w:rPr>
      </w:pP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Honors and Awards: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1994 American Gastroenterology Association / Industry Research Scholar Award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1994 Young Investigator Award, Intl Assn.of Pancreatology / American Pancreatic Association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1997 Young Investigator Award, Canadian Association of Gastroenterology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2003 Mary Jane Kugel Award, Juvenile Diabetes Research Foundation</w:t>
      </w:r>
    </w:p>
    <w:p w:rsidR="00D735C7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2010 Canadian Association of Gastroenterology Research Excellence Award</w:t>
      </w:r>
    </w:p>
    <w:p w:rsidR="00E95DFF" w:rsidRPr="00112C71" w:rsidRDefault="00E95DFF" w:rsidP="00D735C7">
      <w:pPr>
        <w:adjustRightInd w:val="0"/>
        <w:rPr>
          <w:rFonts w:ascii="Times New Roman" w:hAnsi="Times New Roman"/>
          <w:sz w:val="24"/>
        </w:rPr>
      </w:pPr>
    </w:p>
    <w:p w:rsidR="00D735C7" w:rsidRPr="00112C71" w:rsidRDefault="00D735C7" w:rsidP="00D735C7">
      <w:pPr>
        <w:adjustRightInd w:val="0"/>
        <w:rPr>
          <w:rFonts w:ascii="Times New Roman" w:hAnsi="Times New Roman"/>
          <w:b/>
          <w:bCs/>
          <w:sz w:val="24"/>
        </w:rPr>
      </w:pPr>
      <w:r w:rsidRPr="00112C71">
        <w:rPr>
          <w:rFonts w:ascii="Times New Roman" w:hAnsi="Times New Roman"/>
          <w:b/>
          <w:bCs/>
          <w:sz w:val="24"/>
        </w:rPr>
        <w:t>C. Publications (in chronological order- from most recent, 15 selec</w:t>
      </w:r>
      <w:r w:rsidR="00543CE5">
        <w:rPr>
          <w:rFonts w:ascii="Times New Roman" w:hAnsi="Times New Roman"/>
          <w:b/>
          <w:bCs/>
          <w:sz w:val="24"/>
        </w:rPr>
        <w:t>ted publications</w:t>
      </w:r>
      <w:r w:rsidR="00D01240">
        <w:rPr>
          <w:rFonts w:ascii="Times New Roman" w:hAnsi="Times New Roman"/>
          <w:b/>
          <w:bCs/>
          <w:sz w:val="24"/>
        </w:rPr>
        <w:t xml:space="preserve"> pertaining to exocrine research</w:t>
      </w:r>
      <w:r w:rsidR="00543CE5">
        <w:rPr>
          <w:rFonts w:ascii="Times New Roman" w:hAnsi="Times New Roman"/>
          <w:b/>
          <w:bCs/>
          <w:sz w:val="24"/>
        </w:rPr>
        <w:t>). Lifetime: 1</w:t>
      </w:r>
      <w:r w:rsidR="00D01240">
        <w:rPr>
          <w:rFonts w:ascii="Times New Roman" w:hAnsi="Times New Roman"/>
          <w:b/>
          <w:bCs/>
          <w:sz w:val="24"/>
        </w:rPr>
        <w:t>30</w:t>
      </w:r>
      <w:r w:rsidRPr="00112C71">
        <w:rPr>
          <w:rFonts w:ascii="Times New Roman" w:hAnsi="Times New Roman"/>
          <w:b/>
          <w:bCs/>
          <w:sz w:val="24"/>
        </w:rPr>
        <w:t xml:space="preserve"> papers</w:t>
      </w:r>
    </w:p>
    <w:p w:rsidR="00435FD5" w:rsidRPr="00435FD5" w:rsidRDefault="00435FD5" w:rsidP="00435FD5">
      <w:pPr>
        <w:rPr>
          <w:rFonts w:ascii="Times New Roman" w:hAnsi="Times New Roman"/>
          <w:sz w:val="24"/>
        </w:rPr>
      </w:pPr>
      <w:r w:rsidRPr="00435FD5">
        <w:rPr>
          <w:rFonts w:ascii="Times New Roman" w:hAnsi="Times New Roman"/>
          <w:sz w:val="24"/>
        </w:rPr>
        <w:t xml:space="preserve">128.  </w:t>
      </w:r>
      <w:proofErr w:type="spellStart"/>
      <w:r w:rsidRPr="00435FD5">
        <w:rPr>
          <w:rFonts w:ascii="Times New Roman" w:hAnsi="Times New Roman"/>
          <w:sz w:val="24"/>
        </w:rPr>
        <w:t>Behrendorff</w:t>
      </w:r>
      <w:proofErr w:type="spellEnd"/>
      <w:r w:rsidRPr="00435FD5">
        <w:rPr>
          <w:rFonts w:ascii="Times New Roman" w:hAnsi="Times New Roman"/>
          <w:sz w:val="24"/>
        </w:rPr>
        <w:t xml:space="preserve">, N,  </w:t>
      </w:r>
      <w:proofErr w:type="spellStart"/>
      <w:r w:rsidRPr="00435FD5">
        <w:rPr>
          <w:rFonts w:ascii="Times New Roman" w:hAnsi="Times New Roman"/>
          <w:sz w:val="24"/>
        </w:rPr>
        <w:t>Dolai</w:t>
      </w:r>
      <w:proofErr w:type="spellEnd"/>
      <w:r w:rsidRPr="00435FD5">
        <w:rPr>
          <w:rFonts w:ascii="Times New Roman" w:hAnsi="Times New Roman"/>
          <w:sz w:val="24"/>
        </w:rPr>
        <w:t xml:space="preserve"> S, Hong W, </w:t>
      </w:r>
      <w:proofErr w:type="spellStart"/>
      <w:r w:rsidRPr="00435FD5">
        <w:rPr>
          <w:rFonts w:ascii="Times New Roman" w:hAnsi="Times New Roman"/>
          <w:b/>
          <w:sz w:val="24"/>
        </w:rPr>
        <w:t>Gaisano</w:t>
      </w:r>
      <w:proofErr w:type="spellEnd"/>
      <w:r w:rsidRPr="00435FD5">
        <w:rPr>
          <w:rFonts w:ascii="Times New Roman" w:hAnsi="Times New Roman"/>
          <w:b/>
          <w:sz w:val="24"/>
        </w:rPr>
        <w:t xml:space="preserve"> HY</w:t>
      </w:r>
      <w:r w:rsidRPr="00435FD5">
        <w:rPr>
          <w:rFonts w:ascii="Times New Roman" w:hAnsi="Times New Roman"/>
          <w:sz w:val="24"/>
        </w:rPr>
        <w:t>,</w:t>
      </w:r>
      <w:r w:rsidRPr="00435FD5">
        <w:rPr>
          <w:rFonts w:ascii="Times New Roman" w:hAnsi="Times New Roman"/>
          <w:sz w:val="24"/>
          <w:vertAlign w:val="superscript"/>
        </w:rPr>
        <w:t xml:space="preserve"> </w:t>
      </w:r>
      <w:r w:rsidRPr="00435FD5">
        <w:rPr>
          <w:rFonts w:ascii="Times New Roman" w:hAnsi="Times New Roman"/>
          <w:sz w:val="24"/>
        </w:rPr>
        <w:t xml:space="preserve">Thorn P. </w:t>
      </w:r>
      <w:r w:rsidRPr="00435FD5">
        <w:rPr>
          <w:rFonts w:ascii="Times New Roman" w:hAnsi="Times New Roman"/>
          <w:sz w:val="24"/>
          <w:vertAlign w:val="superscript"/>
        </w:rPr>
        <w:t xml:space="preserve"> </w:t>
      </w:r>
      <w:r w:rsidRPr="00435FD5">
        <w:rPr>
          <w:rFonts w:ascii="Times New Roman" w:hAnsi="Times New Roman"/>
          <w:sz w:val="24"/>
        </w:rPr>
        <w:t xml:space="preserve">VAMP 8 is a SNARE selectively required for sequential granule-to-granule </w:t>
      </w:r>
      <w:proofErr w:type="gramStart"/>
      <w:r w:rsidRPr="00435FD5">
        <w:rPr>
          <w:rFonts w:ascii="Times New Roman" w:hAnsi="Times New Roman"/>
          <w:sz w:val="24"/>
        </w:rPr>
        <w:t xml:space="preserve">fusion </w:t>
      </w:r>
      <w:r w:rsidRPr="00435FD5">
        <w:rPr>
          <w:rFonts w:ascii="Times New Roman" w:hAnsi="Times New Roman"/>
          <w:b/>
          <w:i/>
          <w:sz w:val="24"/>
        </w:rPr>
        <w:t>.</w:t>
      </w:r>
      <w:proofErr w:type="gramEnd"/>
      <w:r w:rsidRPr="00435FD5">
        <w:rPr>
          <w:rFonts w:ascii="Times New Roman" w:hAnsi="Times New Roman"/>
          <w:b/>
          <w:i/>
          <w:sz w:val="24"/>
        </w:rPr>
        <w:t xml:space="preserve">  J. Biol. Chem.</w:t>
      </w:r>
      <w:r w:rsidRPr="00435FD5">
        <w:rPr>
          <w:sz w:val="24"/>
        </w:rPr>
        <w:t xml:space="preserve"> </w:t>
      </w:r>
      <w:r w:rsidRPr="00435FD5">
        <w:rPr>
          <w:rFonts w:ascii="Times New Roman" w:hAnsi="Times New Roman"/>
          <w:sz w:val="24"/>
        </w:rPr>
        <w:t>286(34):29627-34, 2011</w:t>
      </w:r>
    </w:p>
    <w:p w:rsidR="00543CE5" w:rsidRPr="00543CE5" w:rsidRDefault="00543CE5" w:rsidP="00543CE5">
      <w:pPr>
        <w:rPr>
          <w:rFonts w:ascii="Times New Roman" w:hAnsi="Times New Roman"/>
          <w:b/>
          <w:i/>
          <w:sz w:val="24"/>
        </w:rPr>
      </w:pPr>
      <w:r w:rsidRPr="00543CE5">
        <w:rPr>
          <w:rFonts w:ascii="Times New Roman" w:hAnsi="Times New Roman"/>
          <w:sz w:val="24"/>
        </w:rPr>
        <w:t xml:space="preserve">125.  Fernandez N, Liang T, </w:t>
      </w:r>
      <w:r w:rsidRPr="00543CE5">
        <w:rPr>
          <w:rFonts w:ascii="Times New Roman" w:hAnsi="Times New Roman"/>
          <w:b/>
          <w:sz w:val="24"/>
        </w:rPr>
        <w:t>Gaisano HY.</w:t>
      </w:r>
      <w:r w:rsidRPr="00543CE5">
        <w:rPr>
          <w:rFonts w:ascii="Times New Roman" w:hAnsi="Times New Roman"/>
          <w:sz w:val="24"/>
        </w:rPr>
        <w:t xml:space="preserve"> Live Pancreatic Acinar Imaging of Exocytosis Using Syncollin-pHluorin. </w:t>
      </w:r>
      <w:r w:rsidRPr="00543CE5">
        <w:rPr>
          <w:rFonts w:ascii="Times New Roman" w:hAnsi="Times New Roman"/>
          <w:b/>
          <w:i/>
          <w:sz w:val="24"/>
        </w:rPr>
        <w:t xml:space="preserve">Amer. J. Physiol. Cell Physiol. </w:t>
      </w:r>
      <w:r w:rsidRPr="00543CE5">
        <w:rPr>
          <w:rFonts w:cs="Arial"/>
          <w:sz w:val="24"/>
        </w:rPr>
        <w:t xml:space="preserve"> </w:t>
      </w:r>
      <w:r w:rsidRPr="00543CE5">
        <w:rPr>
          <w:rFonts w:ascii="Times New Roman" w:hAnsi="Times New Roman"/>
          <w:sz w:val="24"/>
        </w:rPr>
        <w:t>300(6):C1513-23, 2011</w:t>
      </w:r>
    </w:p>
    <w:p w:rsidR="00543CE5" w:rsidRPr="00543CE5" w:rsidRDefault="00543CE5" w:rsidP="00543CE5">
      <w:pPr>
        <w:adjustRightInd w:val="0"/>
        <w:rPr>
          <w:rFonts w:ascii="Times New Roman" w:hAnsi="Times New Roman"/>
          <w:sz w:val="24"/>
        </w:rPr>
      </w:pPr>
      <w:r w:rsidRPr="00543CE5">
        <w:rPr>
          <w:rFonts w:ascii="Times New Roman" w:hAnsi="Times New Roman"/>
          <w:sz w:val="24"/>
        </w:rPr>
        <w:t xml:space="preserve">119. Huang YC, Rupnik M, </w:t>
      </w:r>
      <w:r w:rsidRPr="00543CE5">
        <w:rPr>
          <w:rFonts w:ascii="Times New Roman" w:hAnsi="Times New Roman"/>
          <w:b/>
          <w:bCs/>
          <w:sz w:val="24"/>
        </w:rPr>
        <w:t>Gaisano HY</w:t>
      </w:r>
      <w:r w:rsidRPr="00543CE5">
        <w:rPr>
          <w:rFonts w:ascii="Times New Roman" w:hAnsi="Times New Roman"/>
          <w:sz w:val="24"/>
        </w:rPr>
        <w:t xml:space="preserve">. Unperturbed islet alpha-cell function examined in mouse pancreatic tissue slices. </w:t>
      </w:r>
      <w:r w:rsidRPr="00543CE5">
        <w:rPr>
          <w:rFonts w:ascii="Times New Roman" w:hAnsi="Times New Roman"/>
          <w:b/>
          <w:bCs/>
          <w:i/>
          <w:iCs/>
          <w:sz w:val="24"/>
        </w:rPr>
        <w:t xml:space="preserve">J. Physiology </w:t>
      </w:r>
      <w:r w:rsidRPr="00543CE5">
        <w:rPr>
          <w:rFonts w:ascii="Times New Roman" w:hAnsi="Times New Roman"/>
          <w:sz w:val="24"/>
        </w:rPr>
        <w:t>589(Pt 2):395-408, 2011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103.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 xml:space="preserve">, Gorelick F. New Insights into Mechanisms of Acute Pancreatitis.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Gastroenterology </w:t>
      </w:r>
      <w:r w:rsidRPr="00112C71">
        <w:rPr>
          <w:rFonts w:ascii="Times New Roman" w:hAnsi="Times New Roman"/>
          <w:sz w:val="24"/>
        </w:rPr>
        <w:t>136(7):2040-4,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2009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95. Cosen-Binker L, Binker MG, Wang CC, Hong W, </w:t>
      </w:r>
      <w:r w:rsidRPr="00112C71">
        <w:rPr>
          <w:rFonts w:ascii="Times New Roman" w:hAnsi="Times New Roman"/>
          <w:b/>
          <w:bCs/>
          <w:sz w:val="24"/>
        </w:rPr>
        <w:t>GaisanoHY</w:t>
      </w:r>
      <w:r w:rsidRPr="00112C71">
        <w:rPr>
          <w:rFonts w:ascii="Times New Roman" w:hAnsi="Times New Roman"/>
          <w:sz w:val="24"/>
        </w:rPr>
        <w:t>. VAMP8 is the v-SNARE mediating basolateral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exocytosis in alcoholic pancreatitis.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J. Clin. Invest. </w:t>
      </w:r>
      <w:r w:rsidRPr="00112C71">
        <w:rPr>
          <w:rFonts w:ascii="Times New Roman" w:hAnsi="Times New Roman"/>
          <w:sz w:val="24"/>
        </w:rPr>
        <w:t>118(7):2535-51, 2008.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79. Lam PPL, HyvärinenK, Kauppi M, Cosen-Binker L, Saara Laitinen S, Sirkka Keränen S, </w:t>
      </w:r>
      <w:r w:rsidRPr="00112C71">
        <w:rPr>
          <w:rFonts w:ascii="Times New Roman" w:hAnsi="Times New Roman"/>
          <w:b/>
          <w:bCs/>
          <w:sz w:val="24"/>
        </w:rPr>
        <w:t>Gaisano</w:t>
      </w:r>
      <w:r w:rsidR="0075287E">
        <w:rPr>
          <w:rFonts w:ascii="Times New Roman" w:hAnsi="Times New Roman"/>
          <w:b/>
          <w:bCs/>
          <w:sz w:val="24"/>
        </w:rPr>
        <w:t xml:space="preserve"> </w:t>
      </w:r>
      <w:r w:rsidRPr="00112C71">
        <w:rPr>
          <w:rFonts w:ascii="Times New Roman" w:hAnsi="Times New Roman"/>
          <w:b/>
          <w:bCs/>
          <w:sz w:val="24"/>
        </w:rPr>
        <w:t>HY</w:t>
      </w:r>
      <w:r w:rsidRPr="00112C71">
        <w:rPr>
          <w:rFonts w:ascii="Times New Roman" w:hAnsi="Times New Roman"/>
          <w:sz w:val="24"/>
        </w:rPr>
        <w:t>, Olkkonen VM.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A Cytosolic Splice Variant of Cab45 Interacts with Munc18b and Impacts on Amylase Secretion by Pancreatic Acini.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Molec. Biol. Cell </w:t>
      </w:r>
      <w:r w:rsidRPr="00112C71">
        <w:rPr>
          <w:rFonts w:ascii="Times New Roman" w:hAnsi="Times New Roman"/>
          <w:sz w:val="24"/>
        </w:rPr>
        <w:t>18(7):2473-80, 2007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74. Lam PPL, Cosen-Binker L, Lugea A, Pandol S,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>. Alcohol redirects CCK –mediated apical exocytosis to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pancreatic acinar basolateral membrane in alcoholic pancreatitis.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Traffic </w:t>
      </w:r>
      <w:r w:rsidRPr="00112C71">
        <w:rPr>
          <w:rFonts w:ascii="Times New Roman" w:hAnsi="Times New Roman"/>
          <w:sz w:val="24"/>
        </w:rPr>
        <w:t>8(5):605-17, 2007.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73. Cosen-Binker L, Lam PPL, Binker M, Reeves J, Pandol S, </w:t>
      </w:r>
      <w:r w:rsidRPr="00112C71">
        <w:rPr>
          <w:rFonts w:ascii="Times New Roman" w:hAnsi="Times New Roman"/>
          <w:b/>
          <w:bCs/>
          <w:sz w:val="24"/>
        </w:rPr>
        <w:t>GaisanoHY</w:t>
      </w:r>
      <w:r w:rsidRPr="00112C71">
        <w:rPr>
          <w:rFonts w:ascii="Times New Roman" w:hAnsi="Times New Roman"/>
          <w:sz w:val="24"/>
        </w:rPr>
        <w:t>. Alcohol/cholecystokinin-evoked pancreatic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acinar basolateral exocytosis is mediated by PKC</w:t>
      </w:r>
      <w:r w:rsidRPr="00112C71">
        <w:rPr>
          <w:rFonts w:ascii="SymbolMT" w:hAnsi="SymbolMT" w:cs="SymbolMT"/>
          <w:sz w:val="24"/>
        </w:rPr>
        <w:t xml:space="preserve">α </w:t>
      </w:r>
      <w:r w:rsidRPr="00112C71">
        <w:rPr>
          <w:rFonts w:ascii="Times New Roman" w:hAnsi="Times New Roman"/>
          <w:sz w:val="24"/>
        </w:rPr>
        <w:t>phosphorylation of Munc18c</w:t>
      </w:r>
      <w:r w:rsidRPr="00112C71">
        <w:rPr>
          <w:rFonts w:ascii="Times New Roman" w:hAnsi="Times New Roman"/>
          <w:b/>
          <w:bCs/>
          <w:sz w:val="24"/>
        </w:rPr>
        <w:t xml:space="preserve">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J. Biol. Chem. </w:t>
      </w:r>
      <w:r w:rsidRPr="00112C71">
        <w:rPr>
          <w:rFonts w:ascii="Times New Roman" w:hAnsi="Times New Roman"/>
          <w:sz w:val="24"/>
        </w:rPr>
        <w:t>282(17):13047-58, 2007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72. Cosen-Binker LI, Lam PPL, Binker MG, </w:t>
      </w:r>
      <w:r w:rsidRPr="00112C71">
        <w:rPr>
          <w:rFonts w:ascii="Times New Roman" w:hAnsi="Times New Roman"/>
          <w:b/>
          <w:bCs/>
          <w:sz w:val="24"/>
        </w:rPr>
        <w:t>GaisanoHY</w:t>
      </w:r>
      <w:r w:rsidRPr="00112C71">
        <w:rPr>
          <w:rFonts w:ascii="Times New Roman" w:hAnsi="Times New Roman"/>
          <w:sz w:val="24"/>
        </w:rPr>
        <w:t>. Alcohol-induced PKC alpha phosphorylation of Munc18c in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carbachol-stimulated acini causes ectopic basolateral exocytosis.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Gastroenterology </w:t>
      </w:r>
      <w:r w:rsidRPr="00112C71">
        <w:rPr>
          <w:rFonts w:ascii="Times New Roman" w:hAnsi="Times New Roman"/>
          <w:sz w:val="24"/>
        </w:rPr>
        <w:t>132(4):1527-45, 2007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69. Cosen-Binker LI,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 xml:space="preserve">. Recent insights into the cellular mechanisms of acute pancreatitis. </w:t>
      </w:r>
      <w:r w:rsidRPr="00112C71">
        <w:rPr>
          <w:rFonts w:ascii="Times New Roman" w:hAnsi="Times New Roman"/>
          <w:b/>
          <w:bCs/>
          <w:i/>
          <w:iCs/>
          <w:sz w:val="24"/>
        </w:rPr>
        <w:t>Can. J. Gastro</w:t>
      </w:r>
      <w:r w:rsidRPr="00112C71">
        <w:rPr>
          <w:rFonts w:ascii="Times New Roman" w:hAnsi="Times New Roman"/>
          <w:sz w:val="24"/>
        </w:rPr>
        <w:t>.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21(1):19-24, 2007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44.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>, Sheu L, Whitcomb D. Alcohol chronic pancreatitis involves displacement of Munc18c from the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pancreatic acinar basal surface.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Pancreas </w:t>
      </w:r>
      <w:r w:rsidRPr="00112C71">
        <w:rPr>
          <w:rFonts w:ascii="Times New Roman" w:hAnsi="Times New Roman"/>
          <w:sz w:val="24"/>
        </w:rPr>
        <w:t>28(4):395-400, 2004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lastRenderedPageBreak/>
        <w:t xml:space="preserve">28.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>, Lutz M, Leser J, Sheu L, Lynch G, Tang L, Tamori Y, Trimble WS, Salapatek AM.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>Supramaximal CCK redirects exocytosis from the apical to the basal plasma membrane in rat pancreatic acinar cells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involving displacement of Munc18c from the basal membrane.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J. Clin. Invest. </w:t>
      </w:r>
      <w:r w:rsidRPr="00112C71">
        <w:rPr>
          <w:rFonts w:ascii="Times New Roman" w:hAnsi="Times New Roman"/>
          <w:sz w:val="24"/>
        </w:rPr>
        <w:t>108:1597-1611,2001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25. Huang XH, Sheu L, Tamori Y, Trimble WS, </w:t>
      </w:r>
      <w:r w:rsidRPr="00112C71">
        <w:rPr>
          <w:rFonts w:ascii="Times New Roman" w:hAnsi="Times New Roman"/>
          <w:b/>
          <w:bCs/>
          <w:sz w:val="24"/>
        </w:rPr>
        <w:t xml:space="preserve">Gaisano HY. </w:t>
      </w:r>
      <w:r w:rsidRPr="00112C71">
        <w:rPr>
          <w:rFonts w:ascii="Times New Roman" w:hAnsi="Times New Roman"/>
          <w:sz w:val="24"/>
        </w:rPr>
        <w:t>CCK-regulated exocytosis in rat pancreatic acinar cells is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inhibited by a C-terminus truncated mutant of SNAP-23.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Pancreas </w:t>
      </w:r>
      <w:r w:rsidRPr="00112C71">
        <w:rPr>
          <w:rFonts w:ascii="Times New Roman" w:hAnsi="Times New Roman"/>
          <w:sz w:val="24"/>
        </w:rPr>
        <w:t>23, 125-133, 2001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17. </w:t>
      </w:r>
      <w:r w:rsidRPr="00112C71">
        <w:rPr>
          <w:rFonts w:ascii="Times New Roman" w:hAnsi="Times New Roman"/>
          <w:b/>
          <w:bCs/>
          <w:sz w:val="24"/>
        </w:rPr>
        <w:t xml:space="preserve">Gaisano HY, </w:t>
      </w:r>
      <w:r w:rsidRPr="00112C71">
        <w:rPr>
          <w:rFonts w:ascii="Times New Roman" w:hAnsi="Times New Roman"/>
          <w:sz w:val="24"/>
        </w:rPr>
        <w:t>Ghai M, Sheu L, Bouquillon A, Bennett MK, and Trimble WS. Distinct locations of the syntaxin family of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>proteins in rat pancreatic acinar cells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. Molec. Biol. Cell </w:t>
      </w:r>
      <w:r w:rsidRPr="00112C71">
        <w:rPr>
          <w:rFonts w:ascii="Times New Roman" w:hAnsi="Times New Roman"/>
          <w:sz w:val="24"/>
        </w:rPr>
        <w:t>7:2019-2027, 1996.</w:t>
      </w:r>
    </w:p>
    <w:p w:rsidR="00D735C7" w:rsidRPr="00112C71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16.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>, Sheu L, Grondin G, Ghai M, Bouquillon A, Beaudoin A, Lowe A, Trimble WS. The VAMP family in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pancreatic and parotid acinar cells.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Gastroenterology </w:t>
      </w:r>
      <w:r w:rsidRPr="00112C71">
        <w:rPr>
          <w:rFonts w:ascii="Times New Roman" w:hAnsi="Times New Roman"/>
          <w:sz w:val="24"/>
        </w:rPr>
        <w:t>111:1661-1669, 1996.</w:t>
      </w:r>
    </w:p>
    <w:p w:rsidR="00D735C7" w:rsidRDefault="00D735C7" w:rsidP="00D735C7">
      <w:pPr>
        <w:adjustRightInd w:val="0"/>
        <w:rPr>
          <w:rFonts w:ascii="Times New Roman" w:hAnsi="Times New Roman"/>
          <w:sz w:val="24"/>
        </w:rPr>
      </w:pPr>
      <w:r w:rsidRPr="00112C71">
        <w:rPr>
          <w:rFonts w:ascii="Times New Roman" w:hAnsi="Times New Roman"/>
          <w:sz w:val="24"/>
        </w:rPr>
        <w:t xml:space="preserve">14. </w:t>
      </w:r>
      <w:r w:rsidRPr="00112C71">
        <w:rPr>
          <w:rFonts w:ascii="Times New Roman" w:hAnsi="Times New Roman"/>
          <w:b/>
          <w:bCs/>
          <w:sz w:val="24"/>
        </w:rPr>
        <w:t>Gaisano HY</w:t>
      </w:r>
      <w:r w:rsidRPr="00112C71">
        <w:rPr>
          <w:rFonts w:ascii="Times New Roman" w:hAnsi="Times New Roman"/>
          <w:sz w:val="24"/>
        </w:rPr>
        <w:t>, Sheu L, Foskett JK and Trimble WS. Tetanus toxin-light chain cleaves a vesicle-associated membrane</w:t>
      </w:r>
      <w:r w:rsidR="00E95DFF">
        <w:rPr>
          <w:rFonts w:ascii="Times New Roman" w:hAnsi="Times New Roman"/>
          <w:sz w:val="24"/>
        </w:rPr>
        <w:t xml:space="preserve"> </w:t>
      </w:r>
      <w:r w:rsidRPr="00112C71">
        <w:rPr>
          <w:rFonts w:ascii="Times New Roman" w:hAnsi="Times New Roman"/>
          <w:sz w:val="24"/>
        </w:rPr>
        <w:t xml:space="preserve">protein (VAMP) isoform 2 in rat pancreatic zymogen granules and inhibits enzyme secretion. </w:t>
      </w:r>
      <w:r w:rsidRPr="00112C71">
        <w:rPr>
          <w:rFonts w:ascii="Times New Roman" w:hAnsi="Times New Roman"/>
          <w:b/>
          <w:bCs/>
          <w:i/>
          <w:iCs/>
          <w:sz w:val="24"/>
        </w:rPr>
        <w:t xml:space="preserve">J. Biol. Chem. </w:t>
      </w:r>
      <w:r w:rsidRPr="00112C71">
        <w:rPr>
          <w:rFonts w:ascii="Times New Roman" w:hAnsi="Times New Roman"/>
          <w:sz w:val="24"/>
        </w:rPr>
        <w:t>269:17062-17066, 1994.</w:t>
      </w:r>
    </w:p>
    <w:p w:rsidR="00E95DFF" w:rsidRPr="00112C71" w:rsidRDefault="00E95DFF" w:rsidP="00D735C7">
      <w:pPr>
        <w:adjustRightInd w:val="0"/>
        <w:rPr>
          <w:rFonts w:ascii="Times New Roman" w:hAnsi="Times New Roman"/>
          <w:sz w:val="24"/>
        </w:rPr>
      </w:pPr>
    </w:p>
    <w:sectPr w:rsidR="00E95DFF" w:rsidRPr="00112C71" w:rsidSect="00814C7D">
      <w:headerReference w:type="first" r:id="rId7"/>
      <w:footerReference w:type="first" r:id="rId8"/>
      <w:type w:val="continuous"/>
      <w:pgSz w:w="12240" w:h="15840" w:code="1"/>
      <w:pgMar w:top="1152" w:right="720" w:bottom="720" w:left="720" w:header="720" w:footer="72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64" w:rsidRDefault="00045D64">
      <w:r>
        <w:separator/>
      </w:r>
    </w:p>
  </w:endnote>
  <w:endnote w:type="continuationSeparator" w:id="0">
    <w:p w:rsidR="00045D64" w:rsidRDefault="00045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ambria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942" w:rsidRDefault="00C67E3E">
    <w:pPr>
      <w:pStyle w:val="FormFooterBorder"/>
    </w:pPr>
    <w:r>
      <w:t>PHS 398/2590 (Rev. 06</w:t>
    </w:r>
    <w:r w:rsidR="00A04942">
      <w:t>/</w:t>
    </w:r>
    <w:r>
      <w:t>09</w:t>
    </w:r>
    <w:r w:rsidR="00A04942">
      <w:t>)</w:t>
    </w:r>
    <w:r w:rsidR="00A04942">
      <w:tab/>
      <w:t xml:space="preserve">Page </w:t>
    </w:r>
    <w:r w:rsidR="00A04942">
      <w:rPr>
        <w:rStyle w:val="PageNumber"/>
      </w:rPr>
      <w:t xml:space="preserve">    </w:t>
    </w:r>
    <w:r w:rsidR="00A04942">
      <w:tab/>
    </w:r>
    <w:r w:rsidR="00A04942">
      <w:rPr>
        <w:b/>
        <w:bCs/>
      </w:rPr>
      <w:t>Biographical Sketch Format Page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64" w:rsidRDefault="00045D64">
      <w:r>
        <w:separator/>
      </w:r>
    </w:p>
  </w:footnote>
  <w:footnote w:type="continuationSeparator" w:id="0">
    <w:p w:rsidR="00045D64" w:rsidRDefault="00045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56" w:type="dxa"/>
      <w:jc w:val="center"/>
      <w:tblLayout w:type="fixed"/>
      <w:tblCellMar>
        <w:left w:w="115" w:type="dxa"/>
        <w:right w:w="115" w:type="dxa"/>
      </w:tblCellMar>
      <w:tblLook w:val="0000"/>
    </w:tblPr>
    <w:tblGrid>
      <w:gridCol w:w="5328"/>
      <w:gridCol w:w="5328"/>
    </w:tblGrid>
    <w:tr w:rsidR="00A04942">
      <w:trPr>
        <w:trHeight w:hRule="exact" w:val="360"/>
        <w:jc w:val="center"/>
      </w:trPr>
      <w:tc>
        <w:tcPr>
          <w:tcW w:w="5328" w:type="dxa"/>
          <w:tcBorders>
            <w:left w:val="nil"/>
            <w:right w:val="nil"/>
          </w:tcBorders>
          <w:vAlign w:val="bottom"/>
        </w:tcPr>
        <w:p w:rsidR="00A04942" w:rsidRDefault="00A04942" w:rsidP="00CE0951">
          <w:pPr>
            <w:pStyle w:val="PIHeader"/>
          </w:pPr>
          <w:r>
            <w:t>Principal Investigator/Program Director (Last, First, Middle):</w:t>
          </w:r>
        </w:p>
      </w:tc>
      <w:tc>
        <w:tcPr>
          <w:tcW w:w="5328" w:type="dxa"/>
          <w:tcBorders>
            <w:left w:val="nil"/>
            <w:right w:val="nil"/>
          </w:tcBorders>
          <w:vAlign w:val="center"/>
        </w:tcPr>
        <w:p w:rsidR="00A04942" w:rsidRDefault="00A04942" w:rsidP="00CE0951">
          <w:pPr>
            <w:pStyle w:val="DataField11pt-Single"/>
          </w:pPr>
        </w:p>
      </w:tc>
    </w:tr>
  </w:tbl>
  <w:p w:rsidR="00A04942" w:rsidRDefault="00A04942">
    <w:pPr>
      <w:pStyle w:val="Header"/>
      <w:tabs>
        <w:tab w:val="clear" w:pos="8640"/>
        <w:tab w:val="right" w:pos="10800"/>
      </w:tabs>
      <w:spacing w:line="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3731116A"/>
    <w:multiLevelType w:val="hybridMultilevel"/>
    <w:tmpl w:val="944EF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54191D34"/>
    <w:multiLevelType w:val="hybridMultilevel"/>
    <w:tmpl w:val="ACD4B110"/>
    <w:lvl w:ilvl="0" w:tplc="9132B7BE">
      <w:start w:val="20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D36DC"/>
    <w:multiLevelType w:val="hybridMultilevel"/>
    <w:tmpl w:val="067C1F3A"/>
    <w:lvl w:ilvl="0" w:tplc="5764EC40">
      <w:start w:val="2005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5">
    <w:nsid w:val="687B0F01"/>
    <w:multiLevelType w:val="hybridMultilevel"/>
    <w:tmpl w:val="92728860"/>
    <w:lvl w:ilvl="0" w:tplc="7B3E5CCC">
      <w:start w:val="2004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2"/>
  </w:num>
  <w:num w:numId="13">
    <w:abstractNumId w:val="10"/>
  </w:num>
  <w:num w:numId="14">
    <w:abstractNumId w:val="1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2"/>
  </w:num>
  <w:num w:numId="27">
    <w:abstractNumId w:val="0"/>
  </w:num>
  <w:num w:numId="28">
    <w:abstractNumId w:val="10"/>
  </w:num>
  <w:num w:numId="29">
    <w:abstractNumId w:val="11"/>
  </w:num>
  <w:num w:numId="30">
    <w:abstractNumId w:val="14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3F6A45"/>
    <w:rsid w:val="00023A7A"/>
    <w:rsid w:val="00030FB1"/>
    <w:rsid w:val="00045D64"/>
    <w:rsid w:val="00057A2F"/>
    <w:rsid w:val="0006023D"/>
    <w:rsid w:val="00061D02"/>
    <w:rsid w:val="000A02E6"/>
    <w:rsid w:val="00112C71"/>
    <w:rsid w:val="00131CD3"/>
    <w:rsid w:val="0014571A"/>
    <w:rsid w:val="00157E8F"/>
    <w:rsid w:val="00170D87"/>
    <w:rsid w:val="00194175"/>
    <w:rsid w:val="001A76EA"/>
    <w:rsid w:val="001F74A3"/>
    <w:rsid w:val="002229DC"/>
    <w:rsid w:val="0028051C"/>
    <w:rsid w:val="002949AE"/>
    <w:rsid w:val="002E5125"/>
    <w:rsid w:val="00314BBD"/>
    <w:rsid w:val="0034255F"/>
    <w:rsid w:val="0035045F"/>
    <w:rsid w:val="003A493E"/>
    <w:rsid w:val="003F249F"/>
    <w:rsid w:val="003F2FA3"/>
    <w:rsid w:val="003F6A45"/>
    <w:rsid w:val="0041572B"/>
    <w:rsid w:val="00435FD5"/>
    <w:rsid w:val="00447F3A"/>
    <w:rsid w:val="004759D9"/>
    <w:rsid w:val="00503B57"/>
    <w:rsid w:val="005145BB"/>
    <w:rsid w:val="00517BFD"/>
    <w:rsid w:val="00537140"/>
    <w:rsid w:val="005372C3"/>
    <w:rsid w:val="00543CE5"/>
    <w:rsid w:val="0054471F"/>
    <w:rsid w:val="005C2BDD"/>
    <w:rsid w:val="00601C69"/>
    <w:rsid w:val="0061009E"/>
    <w:rsid w:val="00616BCC"/>
    <w:rsid w:val="00675D63"/>
    <w:rsid w:val="006A56FC"/>
    <w:rsid w:val="006C1E1F"/>
    <w:rsid w:val="006E469F"/>
    <w:rsid w:val="0075287E"/>
    <w:rsid w:val="007621BD"/>
    <w:rsid w:val="0080290F"/>
    <w:rsid w:val="008073EB"/>
    <w:rsid w:val="00814C7D"/>
    <w:rsid w:val="00831DA1"/>
    <w:rsid w:val="00843027"/>
    <w:rsid w:val="00866365"/>
    <w:rsid w:val="00874EBC"/>
    <w:rsid w:val="008966BA"/>
    <w:rsid w:val="008E785D"/>
    <w:rsid w:val="009211D3"/>
    <w:rsid w:val="00934124"/>
    <w:rsid w:val="0099540F"/>
    <w:rsid w:val="009B6DA2"/>
    <w:rsid w:val="009F72E5"/>
    <w:rsid w:val="00A04942"/>
    <w:rsid w:val="00A41EAA"/>
    <w:rsid w:val="00A93675"/>
    <w:rsid w:val="00AE41C4"/>
    <w:rsid w:val="00B1375D"/>
    <w:rsid w:val="00B169E8"/>
    <w:rsid w:val="00B52BAC"/>
    <w:rsid w:val="00BA45A0"/>
    <w:rsid w:val="00BA6FB0"/>
    <w:rsid w:val="00BF6401"/>
    <w:rsid w:val="00C05C55"/>
    <w:rsid w:val="00C137DA"/>
    <w:rsid w:val="00C3113F"/>
    <w:rsid w:val="00C3419D"/>
    <w:rsid w:val="00C4536F"/>
    <w:rsid w:val="00C46ADA"/>
    <w:rsid w:val="00C67E3E"/>
    <w:rsid w:val="00C85025"/>
    <w:rsid w:val="00C918BD"/>
    <w:rsid w:val="00C96F2D"/>
    <w:rsid w:val="00C97F86"/>
    <w:rsid w:val="00CD7B68"/>
    <w:rsid w:val="00CE0951"/>
    <w:rsid w:val="00CF68A2"/>
    <w:rsid w:val="00D01240"/>
    <w:rsid w:val="00D060D3"/>
    <w:rsid w:val="00D47C8F"/>
    <w:rsid w:val="00D6436C"/>
    <w:rsid w:val="00D679E5"/>
    <w:rsid w:val="00D735C7"/>
    <w:rsid w:val="00D83360"/>
    <w:rsid w:val="00DA5AC1"/>
    <w:rsid w:val="00DD31B4"/>
    <w:rsid w:val="00DE33D2"/>
    <w:rsid w:val="00DF1733"/>
    <w:rsid w:val="00E355C2"/>
    <w:rsid w:val="00E81FE1"/>
    <w:rsid w:val="00E95DFF"/>
    <w:rsid w:val="00EA3857"/>
    <w:rsid w:val="00EA4A29"/>
    <w:rsid w:val="00EB015E"/>
    <w:rsid w:val="00EE15B0"/>
    <w:rsid w:val="00EE358F"/>
    <w:rsid w:val="00EE3DDD"/>
    <w:rsid w:val="00EF69CD"/>
    <w:rsid w:val="00F00960"/>
    <w:rsid w:val="00F07AB3"/>
    <w:rsid w:val="00F268D6"/>
    <w:rsid w:val="00F63150"/>
    <w:rsid w:val="00F96CC2"/>
    <w:rsid w:val="00FA00C6"/>
    <w:rsid w:val="00FB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AC1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DA5AC1"/>
    <w:pP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Normal"/>
    <w:next w:val="Normal"/>
    <w:qFormat/>
    <w:rsid w:val="00DA5AC1"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A5AC1"/>
    <w:rPr>
      <w:rFonts w:ascii="Times" w:hAnsi="Times" w:cs="Times"/>
    </w:rPr>
  </w:style>
  <w:style w:type="paragraph" w:styleId="ListBullet2">
    <w:name w:val="List Bullet 2"/>
    <w:basedOn w:val="Normal"/>
    <w:autoRedefine/>
    <w:rsid w:val="00DA5AC1"/>
    <w:rPr>
      <w:rFonts w:ascii="Times" w:hAnsi="Times" w:cs="Times"/>
    </w:rPr>
  </w:style>
  <w:style w:type="paragraph" w:styleId="ListBullet3">
    <w:name w:val="List Bullet 3"/>
    <w:basedOn w:val="Normal"/>
    <w:autoRedefine/>
    <w:rsid w:val="00DA5AC1"/>
    <w:rPr>
      <w:rFonts w:ascii="Times" w:hAnsi="Times" w:cs="Times"/>
    </w:rPr>
  </w:style>
  <w:style w:type="paragraph" w:styleId="ListBullet4">
    <w:name w:val="List Bullet 4"/>
    <w:basedOn w:val="Normal"/>
    <w:autoRedefine/>
    <w:rsid w:val="00DA5AC1"/>
    <w:rPr>
      <w:rFonts w:ascii="Times" w:hAnsi="Times" w:cs="Times"/>
    </w:rPr>
  </w:style>
  <w:style w:type="paragraph" w:styleId="ListBullet5">
    <w:name w:val="List Bullet 5"/>
    <w:basedOn w:val="Normal"/>
    <w:autoRedefine/>
    <w:rsid w:val="00DA5AC1"/>
    <w:rPr>
      <w:rFonts w:ascii="Times" w:hAnsi="Times" w:cs="Times"/>
    </w:rPr>
  </w:style>
  <w:style w:type="paragraph" w:styleId="ListNumber">
    <w:name w:val="List Number"/>
    <w:basedOn w:val="Normal"/>
    <w:rsid w:val="00DA5AC1"/>
    <w:rPr>
      <w:rFonts w:ascii="Times" w:hAnsi="Times" w:cs="Times"/>
    </w:rPr>
  </w:style>
  <w:style w:type="paragraph" w:styleId="ListNumber2">
    <w:name w:val="List Number 2"/>
    <w:basedOn w:val="Normal"/>
    <w:rsid w:val="00DA5AC1"/>
    <w:rPr>
      <w:rFonts w:ascii="Times" w:hAnsi="Times" w:cs="Times"/>
    </w:rPr>
  </w:style>
  <w:style w:type="paragraph" w:styleId="ListNumber3">
    <w:name w:val="List Number 3"/>
    <w:basedOn w:val="Normal"/>
    <w:rsid w:val="00DA5AC1"/>
    <w:rPr>
      <w:rFonts w:ascii="Times" w:hAnsi="Times" w:cs="Times"/>
    </w:rPr>
  </w:style>
  <w:style w:type="paragraph" w:styleId="ListNumber4">
    <w:name w:val="List Number 4"/>
    <w:basedOn w:val="Normal"/>
    <w:rsid w:val="00DA5AC1"/>
    <w:rPr>
      <w:rFonts w:ascii="Times" w:hAnsi="Times" w:cs="Times"/>
    </w:rPr>
  </w:style>
  <w:style w:type="paragraph" w:styleId="ListNumber5">
    <w:name w:val="List Number 5"/>
    <w:basedOn w:val="Normal"/>
    <w:rsid w:val="00DA5AC1"/>
    <w:rPr>
      <w:rFonts w:ascii="Times" w:hAnsi="Times" w:cs="Times"/>
    </w:rPr>
  </w:style>
  <w:style w:type="paragraph" w:customStyle="1" w:styleId="QuickA">
    <w:name w:val="Quick A."/>
    <w:basedOn w:val="Normal"/>
    <w:rsid w:val="00DA5AC1"/>
    <w:pPr>
      <w:widowControl w:val="0"/>
    </w:pPr>
  </w:style>
  <w:style w:type="paragraph" w:customStyle="1" w:styleId="ReminderList1">
    <w:name w:val="Reminder List 1"/>
    <w:basedOn w:val="Normal"/>
    <w:rsid w:val="00DA5AC1"/>
    <w:p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rsid w:val="00DA5AC1"/>
    <w:pPr>
      <w:tabs>
        <w:tab w:val="left" w:pos="720"/>
      </w:tabs>
      <w:spacing w:after="60" w:line="260" w:lineRule="atLeast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rsid w:val="00DA5AC1"/>
    <w:pPr>
      <w:tabs>
        <w:tab w:val="left" w:pos="1080"/>
      </w:tabs>
      <w:spacing w:after="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rsid w:val="00DA5AC1"/>
    <w:pPr>
      <w:ind w:left="720"/>
      <w:jc w:val="both"/>
    </w:pPr>
    <w:rPr>
      <w:rFonts w:cs="Arial"/>
      <w:color w:val="FF0000"/>
      <w:sz w:val="20"/>
      <w:szCs w:val="20"/>
    </w:rPr>
  </w:style>
  <w:style w:type="paragraph" w:styleId="NormalWeb">
    <w:name w:val="Normal (Web)"/>
    <w:basedOn w:val="Normal"/>
    <w:rsid w:val="00DA5AC1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rsid w:val="00DA5AC1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DA5AC1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DA5AC1"/>
    <w:rPr>
      <w:rFonts w:cs="Arial"/>
      <w:szCs w:val="20"/>
    </w:rPr>
  </w:style>
  <w:style w:type="paragraph" w:styleId="Footer">
    <w:name w:val="footer"/>
    <w:basedOn w:val="Normal"/>
    <w:rsid w:val="00DA5A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5AC1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DA5AC1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rsid w:val="00DA5AC1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rsid w:val="00DA5AC1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sid w:val="00DA5AC1"/>
    <w:rPr>
      <w:rFonts w:cs="Arial"/>
      <w:sz w:val="16"/>
      <w:szCs w:val="15"/>
    </w:rPr>
  </w:style>
  <w:style w:type="paragraph" w:customStyle="1" w:styleId="Arial10BoldText">
    <w:name w:val="Arial10BoldText"/>
    <w:basedOn w:val="Normal"/>
    <w:rsid w:val="00F63150"/>
    <w:pPr>
      <w:spacing w:before="20" w:after="20"/>
    </w:pPr>
    <w:rPr>
      <w:rFonts w:cs="Arial"/>
      <w:b/>
      <w:bCs/>
      <w:sz w:val="20"/>
      <w:szCs w:val="20"/>
    </w:rPr>
  </w:style>
  <w:style w:type="paragraph" w:customStyle="1" w:styleId="FormFieldCaption">
    <w:name w:val="Form Field Caption"/>
    <w:basedOn w:val="Normal"/>
    <w:rsid w:val="00DA5AC1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rsid w:val="00DA5AC1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rsid w:val="00DA5AC1"/>
    <w:pPr>
      <w:spacing w:after="40"/>
      <w:ind w:left="864"/>
    </w:pPr>
    <w:rPr>
      <w:rFonts w:cs="Arial"/>
      <w:noProof/>
      <w:sz w:val="16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</w:rPr>
  </w:style>
  <w:style w:type="paragraph" w:customStyle="1" w:styleId="HeadNoteNotItalics">
    <w:name w:val="HeadNoteNotItalics"/>
    <w:basedOn w:val="HeadingNote"/>
    <w:rsid w:val="00DA5AC1"/>
    <w:rPr>
      <w:i w:val="0"/>
    </w:rPr>
  </w:style>
  <w:style w:type="character" w:styleId="Emphasis">
    <w:name w:val="Emphasis"/>
    <w:basedOn w:val="DefaultParagraphFont"/>
    <w:qFormat/>
    <w:rsid w:val="00DA5AC1"/>
    <w:rPr>
      <w:i/>
      <w:iCs/>
    </w:rPr>
  </w:style>
  <w:style w:type="character" w:styleId="Hyperlink">
    <w:name w:val="Hyperlink"/>
    <w:basedOn w:val="DefaultParagraphFont"/>
    <w:rsid w:val="00DA5AC1"/>
    <w:rPr>
      <w:color w:val="0000FF"/>
      <w:u w:val="single"/>
    </w:rPr>
  </w:style>
  <w:style w:type="character" w:styleId="Strong">
    <w:name w:val="Strong"/>
    <w:basedOn w:val="DefaultParagraphFont"/>
    <w:qFormat/>
    <w:rsid w:val="00DA5AC1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DA5AC1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DA5AC1"/>
    <w:rPr>
      <w:rFonts w:ascii="Arial" w:hAnsi="Arial"/>
      <w:b/>
      <w:sz w:val="22"/>
      <w:szCs w:val="24"/>
    </w:rPr>
  </w:style>
  <w:style w:type="paragraph" w:customStyle="1" w:styleId="Subtitle2">
    <w:name w:val="Subtitle 2"/>
    <w:basedOn w:val="Subtitle"/>
    <w:rsid w:val="00DA5AC1"/>
    <w:pPr>
      <w:spacing w:before="240" w:after="0"/>
    </w:pPr>
    <w:rPr>
      <w:bCs/>
      <w:szCs w:val="2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7E3E"/>
    <w:pPr>
      <w:autoSpaceDE/>
      <w:autoSpaceDN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7E3E"/>
    <w:rPr>
      <w:rFonts w:ascii="Consolas" w:eastAsia="Calibri" w:hAnsi="Consolas" w:cs="Times New Roman"/>
      <w:sz w:val="21"/>
      <w:szCs w:val="21"/>
    </w:rPr>
  </w:style>
  <w:style w:type="paragraph" w:customStyle="1" w:styleId="DataField11pt">
    <w:name w:val="Data Field 11pt"/>
    <w:basedOn w:val="Normal"/>
    <w:rsid w:val="00EE3DDD"/>
    <w:pPr>
      <w:spacing w:line="300" w:lineRule="exact"/>
    </w:pPr>
    <w:rPr>
      <w:rFonts w:cs="Arial"/>
      <w:noProof/>
      <w:szCs w:val="20"/>
    </w:rPr>
  </w:style>
  <w:style w:type="paragraph" w:styleId="ListParagraph">
    <w:name w:val="List Paragraph"/>
    <w:basedOn w:val="Normal"/>
    <w:uiPriority w:val="34"/>
    <w:qFormat/>
    <w:rsid w:val="00EE3DDD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1142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8175</CharactersWithSpaces>
  <SharedDoc>false</SharedDoc>
  <HLinks>
    <vt:vector size="42" baseType="variant">
      <vt:variant>
        <vt:i4>2949241</vt:i4>
      </vt:variant>
      <vt:variant>
        <vt:i4>18</vt:i4>
      </vt:variant>
      <vt:variant>
        <vt:i4>0</vt:i4>
      </vt:variant>
      <vt:variant>
        <vt:i4>5</vt:i4>
      </vt:variant>
      <vt:variant>
        <vt:lpwstr>http://ajpgi.physiology.org/content/299/1/G196.long</vt:lpwstr>
      </vt:variant>
      <vt:variant>
        <vt:lpwstr/>
      </vt:variant>
      <vt:variant>
        <vt:i4>2949241</vt:i4>
      </vt:variant>
      <vt:variant>
        <vt:i4>15</vt:i4>
      </vt:variant>
      <vt:variant>
        <vt:i4>0</vt:i4>
      </vt:variant>
      <vt:variant>
        <vt:i4>5</vt:i4>
      </vt:variant>
      <vt:variant>
        <vt:lpwstr>http://ajpgi.physiology.org/content/299/1/G196.long</vt:lpwstr>
      </vt:variant>
      <vt:variant>
        <vt:lpwstr/>
      </vt:variant>
      <vt:variant>
        <vt:i4>2359420</vt:i4>
      </vt:variant>
      <vt:variant>
        <vt:i4>12</vt:i4>
      </vt:variant>
      <vt:variant>
        <vt:i4>0</vt:i4>
      </vt:variant>
      <vt:variant>
        <vt:i4>5</vt:i4>
      </vt:variant>
      <vt:variant>
        <vt:lpwstr>http://ajpgi.physiology.org/content/297/5/G967.long</vt:lpwstr>
      </vt:variant>
      <vt:variant>
        <vt:lpwstr/>
      </vt:variant>
      <vt:variant>
        <vt:i4>1704023</vt:i4>
      </vt:variant>
      <vt:variant>
        <vt:i4>9</vt:i4>
      </vt:variant>
      <vt:variant>
        <vt:i4>0</vt:i4>
      </vt:variant>
      <vt:variant>
        <vt:i4>5</vt:i4>
      </vt:variant>
      <vt:variant>
        <vt:lpwstr>http://ajpgi.physiology.org/cgi/content/abstract/00440.2007v1</vt:lpwstr>
      </vt:variant>
      <vt:variant>
        <vt:lpwstr/>
      </vt:variant>
      <vt:variant>
        <vt:i4>1048642</vt:i4>
      </vt:variant>
      <vt:variant>
        <vt:i4>6</vt:i4>
      </vt:variant>
      <vt:variant>
        <vt:i4>0</vt:i4>
      </vt:variant>
      <vt:variant>
        <vt:i4>5</vt:i4>
      </vt:variant>
      <vt:variant>
        <vt:lpwstr>http://ajpgi.physiology.org/cgi/content/full/292/6/G1594</vt:lpwstr>
      </vt:variant>
      <vt:variant>
        <vt:lpwstr/>
      </vt:variant>
      <vt:variant>
        <vt:i4>1376331</vt:i4>
      </vt:variant>
      <vt:variant>
        <vt:i4>3</vt:i4>
      </vt:variant>
      <vt:variant>
        <vt:i4>0</vt:i4>
      </vt:variant>
      <vt:variant>
        <vt:i4>5</vt:i4>
      </vt:variant>
      <vt:variant>
        <vt:lpwstr>http://ajpgi.physiology.org/cgi/content/full/292/5/G1403</vt:lpwstr>
      </vt:variant>
      <vt:variant>
        <vt:lpwstr/>
      </vt:variant>
      <vt:variant>
        <vt:i4>5636187</vt:i4>
      </vt:variant>
      <vt:variant>
        <vt:i4>0</vt:i4>
      </vt:variant>
      <vt:variant>
        <vt:i4>0</vt:i4>
      </vt:variant>
      <vt:variant>
        <vt:i4>5</vt:i4>
      </vt:variant>
      <vt:variant>
        <vt:lpwstr>http://www.pnas.org/cgi/content/full/102/40/14386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cp:lastModifiedBy>Gaisano</cp:lastModifiedBy>
  <cp:revision>2</cp:revision>
  <cp:lastPrinted>2011-06-26T19:58:00Z</cp:lastPrinted>
  <dcterms:created xsi:type="dcterms:W3CDTF">2011-11-11T22:10:00Z</dcterms:created>
  <dcterms:modified xsi:type="dcterms:W3CDTF">2011-11-11T22:10:00Z</dcterms:modified>
</cp:coreProperties>
</file>